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32" w:rsidRDefault="00B801F1" w:rsidP="00656D71">
      <w:r>
        <w:t xml:space="preserve">BRIEF COMMENTS ON </w:t>
      </w:r>
      <w:bookmarkStart w:id="0" w:name="_GoBack"/>
      <w:bookmarkEnd w:id="0"/>
      <w:r w:rsidR="00656D71">
        <w:t>THE KENYA INFORMATION AND COMMUNICATIONS (AMENDMENT) BILL, 2013</w:t>
      </w:r>
      <w:r w:rsidR="00A769DC">
        <w:t xml:space="preserve"> 07072013</w:t>
      </w:r>
    </w:p>
    <w:p w:rsidR="00656D71" w:rsidRDefault="00656D71" w:rsidP="00656D71"/>
    <w:tbl>
      <w:tblPr>
        <w:tblStyle w:val="TableGrid"/>
        <w:tblW w:w="0" w:type="auto"/>
        <w:tblLook w:val="04A0" w:firstRow="1" w:lastRow="0" w:firstColumn="1" w:lastColumn="0" w:noHBand="0" w:noVBand="1"/>
      </w:tblPr>
      <w:tblGrid>
        <w:gridCol w:w="1009"/>
        <w:gridCol w:w="1653"/>
        <w:gridCol w:w="5236"/>
        <w:gridCol w:w="1344"/>
      </w:tblGrid>
      <w:tr w:rsidR="00656D71" w:rsidTr="002F3503">
        <w:tc>
          <w:tcPr>
            <w:tcW w:w="1009" w:type="dxa"/>
          </w:tcPr>
          <w:p w:rsidR="00656D71" w:rsidRDefault="00656D71" w:rsidP="00656D71">
            <w:r>
              <w:t>CLAUSE</w:t>
            </w:r>
          </w:p>
        </w:tc>
        <w:tc>
          <w:tcPr>
            <w:tcW w:w="1653" w:type="dxa"/>
          </w:tcPr>
          <w:p w:rsidR="00656D71" w:rsidRDefault="00656D71" w:rsidP="00656D71">
            <w:r>
              <w:t>PROPOSED</w:t>
            </w:r>
          </w:p>
        </w:tc>
        <w:tc>
          <w:tcPr>
            <w:tcW w:w="5236" w:type="dxa"/>
          </w:tcPr>
          <w:p w:rsidR="00656D71" w:rsidRDefault="00656D71" w:rsidP="00656D71">
            <w:r>
              <w:t>COMMENTS</w:t>
            </w:r>
          </w:p>
        </w:tc>
        <w:tc>
          <w:tcPr>
            <w:tcW w:w="1344" w:type="dxa"/>
          </w:tcPr>
          <w:p w:rsidR="00656D71" w:rsidRDefault="00656D71" w:rsidP="00656D71">
            <w:r>
              <w:t>PROPOSAL</w:t>
            </w:r>
          </w:p>
        </w:tc>
      </w:tr>
      <w:tr w:rsidR="00656D71" w:rsidTr="002F3503">
        <w:tc>
          <w:tcPr>
            <w:tcW w:w="1009" w:type="dxa"/>
          </w:tcPr>
          <w:p w:rsidR="00656D71" w:rsidRDefault="00656D71" w:rsidP="00656D71"/>
        </w:tc>
        <w:tc>
          <w:tcPr>
            <w:tcW w:w="1653" w:type="dxa"/>
          </w:tcPr>
          <w:p w:rsidR="00656D71" w:rsidRDefault="00656D71" w:rsidP="00656D71"/>
        </w:tc>
        <w:tc>
          <w:tcPr>
            <w:tcW w:w="5236" w:type="dxa"/>
          </w:tcPr>
          <w:p w:rsidR="00656D71" w:rsidRDefault="00656D71" w:rsidP="00656D71"/>
        </w:tc>
        <w:tc>
          <w:tcPr>
            <w:tcW w:w="1344" w:type="dxa"/>
          </w:tcPr>
          <w:p w:rsidR="00656D71" w:rsidRDefault="00656D71" w:rsidP="00656D71"/>
        </w:tc>
      </w:tr>
      <w:tr w:rsidR="00656D71" w:rsidTr="002F3503">
        <w:tc>
          <w:tcPr>
            <w:tcW w:w="1009" w:type="dxa"/>
          </w:tcPr>
          <w:p w:rsidR="00656D71" w:rsidRPr="00656D71" w:rsidRDefault="00656D71" w:rsidP="00656D71">
            <w:pPr>
              <w:rPr>
                <w:b/>
              </w:rPr>
            </w:pPr>
            <w:r w:rsidRPr="00656D71">
              <w:rPr>
                <w:b/>
              </w:rPr>
              <w:t>2(a)</w:t>
            </w:r>
          </w:p>
        </w:tc>
        <w:tc>
          <w:tcPr>
            <w:tcW w:w="1653" w:type="dxa"/>
          </w:tcPr>
          <w:p w:rsidR="00656D71" w:rsidRDefault="00656D71" w:rsidP="00656D71">
            <w:pPr>
              <w:jc w:val="both"/>
            </w:pPr>
            <w:r w:rsidRPr="00656D71">
              <w:t xml:space="preserve">deleting the </w:t>
            </w:r>
            <w:r>
              <w:t>D</w:t>
            </w:r>
            <w:r w:rsidRPr="00656D71">
              <w:t>efinition of “Commission” and by inserting, in its proper alphabetical position, the following new definition of “Authority</w:t>
            </w:r>
          </w:p>
        </w:tc>
        <w:tc>
          <w:tcPr>
            <w:tcW w:w="5236" w:type="dxa"/>
          </w:tcPr>
          <w:p w:rsidR="00656D71" w:rsidRDefault="00656D71" w:rsidP="00AC59E0">
            <w:pPr>
              <w:jc w:val="both"/>
            </w:pPr>
            <w:r>
              <w:t>CCK is already a well-established brand with over 1,000,000 hits on the internet. What is driving the need to rename?</w:t>
            </w:r>
            <w:r w:rsidR="00AC59E0">
              <w:t xml:space="preserve"> Globally either of the words is used. See </w:t>
            </w:r>
            <w:r w:rsidR="00AC59E0" w:rsidRPr="00AC59E0">
              <w:t>http://en.wikipedia.org/wiki/List_of_telecommunications_regulatory_bodies</w:t>
            </w:r>
          </w:p>
        </w:tc>
        <w:tc>
          <w:tcPr>
            <w:tcW w:w="1344" w:type="dxa"/>
          </w:tcPr>
          <w:p w:rsidR="00656D71" w:rsidRDefault="00656D71" w:rsidP="00656D71">
            <w:pPr>
              <w:jc w:val="both"/>
            </w:pPr>
          </w:p>
        </w:tc>
      </w:tr>
      <w:tr w:rsidR="00656D71" w:rsidTr="002F3503">
        <w:tc>
          <w:tcPr>
            <w:tcW w:w="1009" w:type="dxa"/>
          </w:tcPr>
          <w:p w:rsidR="00656D71" w:rsidRPr="00656D71" w:rsidRDefault="00656D71" w:rsidP="00656D71">
            <w:pPr>
              <w:rPr>
                <w:b/>
              </w:rPr>
            </w:pPr>
            <w:r w:rsidRPr="00656D71">
              <w:rPr>
                <w:b/>
              </w:rPr>
              <w:t>2(c )</w:t>
            </w:r>
          </w:p>
        </w:tc>
        <w:tc>
          <w:tcPr>
            <w:tcW w:w="1653" w:type="dxa"/>
          </w:tcPr>
          <w:p w:rsidR="00656D71" w:rsidRDefault="00656D71" w:rsidP="00656D71">
            <w:pPr>
              <w:jc w:val="both"/>
            </w:pPr>
            <w:r>
              <w:t>new definition of “telecommunication service” by inserting a new paragraph (iv) at the end thereof as follows—</w:t>
            </w:r>
          </w:p>
          <w:p w:rsidR="00656D71" w:rsidRDefault="00656D71" w:rsidP="00656D71">
            <w:pPr>
              <w:jc w:val="both"/>
            </w:pPr>
            <w:r>
              <w:t xml:space="preserve">(iv) </w:t>
            </w:r>
            <w:proofErr w:type="gramStart"/>
            <w:r>
              <w:t>any</w:t>
            </w:r>
            <w:proofErr w:type="gramEnd"/>
            <w:r>
              <w:t xml:space="preserve"> transaction, including banking, money transfers or similar service carried out through a communication system.</w:t>
            </w:r>
          </w:p>
        </w:tc>
        <w:tc>
          <w:tcPr>
            <w:tcW w:w="5236" w:type="dxa"/>
          </w:tcPr>
          <w:p w:rsidR="00656D71" w:rsidRDefault="00656D71" w:rsidP="00656D71">
            <w:pPr>
              <w:jc w:val="both"/>
            </w:pPr>
            <w:r>
              <w:t xml:space="preserve">The definition of telecommunication </w:t>
            </w:r>
            <w:r w:rsidR="00AC59E0">
              <w:t xml:space="preserve">is </w:t>
            </w:r>
            <w:r>
              <w:t>given in the</w:t>
            </w:r>
            <w:r w:rsidR="00220F39">
              <w:t xml:space="preserve"> EAC Treaty,</w:t>
            </w:r>
            <w:r>
              <w:t xml:space="preserve"> </w:t>
            </w:r>
            <w:r w:rsidR="00106B38">
              <w:t xml:space="preserve">Comesa Treaty; and </w:t>
            </w:r>
            <w:r>
              <w:t>ITU Constitution and Convention is different.</w:t>
            </w:r>
          </w:p>
          <w:p w:rsidR="00656D71" w:rsidRDefault="00656D71" w:rsidP="00656D71">
            <w:pPr>
              <w:jc w:val="both"/>
            </w:pPr>
          </w:p>
          <w:p w:rsidR="00656D71" w:rsidRDefault="00656D71" w:rsidP="00656D71">
            <w:pPr>
              <w:jc w:val="both"/>
            </w:pPr>
            <w:r>
              <w:t>Will online banking be part of this proposed new and therefore subject to regulation by the Commission/Authority?</w:t>
            </w:r>
          </w:p>
          <w:p w:rsidR="00AC59E0" w:rsidRDefault="00AC59E0" w:rsidP="00656D71">
            <w:pPr>
              <w:jc w:val="both"/>
            </w:pPr>
          </w:p>
          <w:p w:rsidR="00AC59E0" w:rsidRDefault="00AC59E0" w:rsidP="00AC59E0">
            <w:pPr>
              <w:spacing w:line="360" w:lineRule="atLeast"/>
              <w:textAlignment w:val="baseline"/>
              <w:outlineLvl w:val="0"/>
            </w:pPr>
          </w:p>
        </w:tc>
        <w:tc>
          <w:tcPr>
            <w:tcW w:w="1344" w:type="dxa"/>
          </w:tcPr>
          <w:p w:rsidR="00656D71" w:rsidRDefault="00656D71" w:rsidP="00656D71">
            <w:pPr>
              <w:jc w:val="both"/>
            </w:pPr>
            <w:r>
              <w:t>Not supported</w:t>
            </w:r>
          </w:p>
        </w:tc>
      </w:tr>
      <w:tr w:rsidR="00656D71" w:rsidTr="002F3503">
        <w:tc>
          <w:tcPr>
            <w:tcW w:w="1009" w:type="dxa"/>
          </w:tcPr>
          <w:p w:rsidR="00656D71" w:rsidRPr="00656D71" w:rsidRDefault="00656D71" w:rsidP="00656D71">
            <w:pPr>
              <w:rPr>
                <w:b/>
              </w:rPr>
            </w:pPr>
            <w:r w:rsidRPr="00656D71">
              <w:rPr>
                <w:b/>
              </w:rPr>
              <w:t>5</w:t>
            </w:r>
          </w:p>
        </w:tc>
        <w:tc>
          <w:tcPr>
            <w:tcW w:w="1653" w:type="dxa"/>
          </w:tcPr>
          <w:p w:rsidR="00656D71" w:rsidRDefault="00656D71" w:rsidP="00656D71">
            <w:pPr>
              <w:jc w:val="both"/>
            </w:pPr>
            <w:r>
              <w:t>New section 5A (2)( b):</w:t>
            </w:r>
          </w:p>
          <w:p w:rsidR="00656D71" w:rsidRDefault="00656D71" w:rsidP="00656D71">
            <w:pPr>
              <w:jc w:val="both"/>
            </w:pPr>
            <w:r>
              <w:t>--implement public policy---</w:t>
            </w:r>
          </w:p>
        </w:tc>
        <w:tc>
          <w:tcPr>
            <w:tcW w:w="5236" w:type="dxa"/>
          </w:tcPr>
          <w:p w:rsidR="00656D71" w:rsidRDefault="00656D71" w:rsidP="00656D71">
            <w:pPr>
              <w:jc w:val="both"/>
            </w:pPr>
            <w:r>
              <w:t>What is the meaning of public policy?</w:t>
            </w:r>
          </w:p>
        </w:tc>
        <w:tc>
          <w:tcPr>
            <w:tcW w:w="1344" w:type="dxa"/>
          </w:tcPr>
          <w:p w:rsidR="00656D71" w:rsidRDefault="00656D71" w:rsidP="00656D71">
            <w:pPr>
              <w:jc w:val="both"/>
            </w:pPr>
            <w:r>
              <w:t>Delete proposed 5A(2)(b)</w:t>
            </w:r>
          </w:p>
        </w:tc>
      </w:tr>
      <w:tr w:rsidR="00BD5AF2" w:rsidTr="002F3503">
        <w:tc>
          <w:tcPr>
            <w:tcW w:w="1009" w:type="dxa"/>
          </w:tcPr>
          <w:p w:rsidR="00BD5AF2" w:rsidRPr="00656D71" w:rsidRDefault="00BD5AF2" w:rsidP="00656D71">
            <w:pPr>
              <w:rPr>
                <w:b/>
              </w:rPr>
            </w:pPr>
            <w:r>
              <w:rPr>
                <w:b/>
              </w:rPr>
              <w:t>6B(1)(b)(iii)</w:t>
            </w:r>
          </w:p>
        </w:tc>
        <w:tc>
          <w:tcPr>
            <w:tcW w:w="1653" w:type="dxa"/>
          </w:tcPr>
          <w:p w:rsidR="00BD5AF2" w:rsidRDefault="00BD5AF2" w:rsidP="00656D71">
            <w:pPr>
              <w:jc w:val="both"/>
            </w:pPr>
            <w:r>
              <w:t>Selection panel to include Board of the Authority</w:t>
            </w:r>
          </w:p>
        </w:tc>
        <w:tc>
          <w:tcPr>
            <w:tcW w:w="5236" w:type="dxa"/>
          </w:tcPr>
          <w:p w:rsidR="00BD5AF2" w:rsidRDefault="00220F39" w:rsidP="00220F39">
            <w:pPr>
              <w:jc w:val="both"/>
            </w:pPr>
            <w:r>
              <w:t xml:space="preserve">Should </w:t>
            </w:r>
            <w:r w:rsidR="00BD5AF2">
              <w:t xml:space="preserve">Board members should interview </w:t>
            </w:r>
            <w:r w:rsidR="00726B53">
              <w:t>themselves?</w:t>
            </w:r>
          </w:p>
        </w:tc>
        <w:tc>
          <w:tcPr>
            <w:tcW w:w="1344" w:type="dxa"/>
          </w:tcPr>
          <w:p w:rsidR="00BD5AF2" w:rsidRDefault="00BD5AF2" w:rsidP="00656D71">
            <w:pPr>
              <w:jc w:val="both"/>
            </w:pPr>
            <w:r>
              <w:t>Delete</w:t>
            </w:r>
          </w:p>
        </w:tc>
      </w:tr>
      <w:tr w:rsidR="00656D71" w:rsidTr="002F3503">
        <w:tc>
          <w:tcPr>
            <w:tcW w:w="1009" w:type="dxa"/>
          </w:tcPr>
          <w:p w:rsidR="00656D71" w:rsidRPr="00656D71" w:rsidRDefault="00200543" w:rsidP="00656D71">
            <w:pPr>
              <w:rPr>
                <w:b/>
              </w:rPr>
            </w:pPr>
            <w:r>
              <w:rPr>
                <w:b/>
              </w:rPr>
              <w:t>6B(1)(b)(vii)</w:t>
            </w:r>
          </w:p>
        </w:tc>
        <w:tc>
          <w:tcPr>
            <w:tcW w:w="1653" w:type="dxa"/>
          </w:tcPr>
          <w:p w:rsidR="00656D71" w:rsidRDefault="00200543" w:rsidP="00656D71">
            <w:pPr>
              <w:jc w:val="both"/>
            </w:pPr>
            <w:r>
              <w:t>Private Sector</w:t>
            </w:r>
          </w:p>
        </w:tc>
        <w:tc>
          <w:tcPr>
            <w:tcW w:w="5236" w:type="dxa"/>
          </w:tcPr>
          <w:p w:rsidR="00656D71" w:rsidRDefault="00200543" w:rsidP="00200543">
            <w:pPr>
              <w:jc w:val="both"/>
            </w:pPr>
            <w:r>
              <w:t>Who is private sector and how do you determine the representative from “private sector”?</w:t>
            </w:r>
          </w:p>
        </w:tc>
        <w:tc>
          <w:tcPr>
            <w:tcW w:w="1344" w:type="dxa"/>
          </w:tcPr>
          <w:p w:rsidR="00656D71" w:rsidRDefault="00200543" w:rsidP="00200543">
            <w:pPr>
              <w:jc w:val="both"/>
            </w:pPr>
            <w:r>
              <w:t>Be specific on which org</w:t>
            </w:r>
            <w:r w:rsidR="00DA7D5E">
              <w:t>a</w:t>
            </w:r>
            <w:r>
              <w:t>n</w:t>
            </w:r>
            <w:r w:rsidR="00DA7D5E">
              <w:t>i</w:t>
            </w:r>
            <w:r>
              <w:t xml:space="preserve">sation from the private sector or </w:t>
            </w:r>
            <w:r>
              <w:lastRenderedPageBreak/>
              <w:t>delete.</w:t>
            </w:r>
          </w:p>
        </w:tc>
      </w:tr>
      <w:tr w:rsidR="00656D71" w:rsidTr="002F3503">
        <w:tc>
          <w:tcPr>
            <w:tcW w:w="1009" w:type="dxa"/>
          </w:tcPr>
          <w:p w:rsidR="00656D71" w:rsidRPr="00656D71" w:rsidRDefault="00BD5AF2" w:rsidP="00656D71">
            <w:pPr>
              <w:rPr>
                <w:b/>
              </w:rPr>
            </w:pPr>
            <w:r>
              <w:rPr>
                <w:b/>
              </w:rPr>
              <w:lastRenderedPageBreak/>
              <w:t>6D(3)</w:t>
            </w:r>
          </w:p>
        </w:tc>
        <w:tc>
          <w:tcPr>
            <w:tcW w:w="1653" w:type="dxa"/>
          </w:tcPr>
          <w:p w:rsidR="00656D71" w:rsidRDefault="00BD5AF2" w:rsidP="00656D71">
            <w:pPr>
              <w:jc w:val="both"/>
            </w:pPr>
            <w:r>
              <w:t>Removal procedure for Board members</w:t>
            </w:r>
          </w:p>
        </w:tc>
        <w:tc>
          <w:tcPr>
            <w:tcW w:w="5236" w:type="dxa"/>
          </w:tcPr>
          <w:p w:rsidR="00656D71" w:rsidRDefault="00BD5AF2" w:rsidP="00656D71">
            <w:pPr>
              <w:jc w:val="both"/>
            </w:pPr>
            <w:r>
              <w:t xml:space="preserve">The Cabinet Secretary is being </w:t>
            </w:r>
            <w:r w:rsidR="00220F39">
              <w:t xml:space="preserve">given </w:t>
            </w:r>
            <w:r>
              <w:t>sole discretion to remove Board Members</w:t>
            </w:r>
            <w:r w:rsidR="00220F39">
              <w:t>?</w:t>
            </w:r>
          </w:p>
        </w:tc>
        <w:tc>
          <w:tcPr>
            <w:tcW w:w="1344" w:type="dxa"/>
          </w:tcPr>
          <w:p w:rsidR="00656D71" w:rsidRDefault="00BD5AF2" w:rsidP="00656D71">
            <w:pPr>
              <w:jc w:val="both"/>
            </w:pPr>
            <w:r>
              <w:t>Constitute a panel to consider complaint filed against Board and act on recommendation of the panel</w:t>
            </w:r>
          </w:p>
        </w:tc>
      </w:tr>
      <w:tr w:rsidR="00656D71" w:rsidTr="002F3503">
        <w:tc>
          <w:tcPr>
            <w:tcW w:w="1009" w:type="dxa"/>
          </w:tcPr>
          <w:p w:rsidR="00656D71" w:rsidRPr="00656D71" w:rsidRDefault="00FB5AA2" w:rsidP="00656D71">
            <w:pPr>
              <w:rPr>
                <w:b/>
              </w:rPr>
            </w:pPr>
            <w:r>
              <w:rPr>
                <w:b/>
              </w:rPr>
              <w:t>9(a)</w:t>
            </w:r>
          </w:p>
        </w:tc>
        <w:tc>
          <w:tcPr>
            <w:tcW w:w="1653" w:type="dxa"/>
          </w:tcPr>
          <w:p w:rsidR="00656D71" w:rsidRDefault="00FB5AA2" w:rsidP="00FB5AA2">
            <w:pPr>
              <w:jc w:val="both"/>
            </w:pPr>
            <w:r>
              <w:t xml:space="preserve">Amendment of Section 23 of the Act </w:t>
            </w:r>
            <w:r w:rsidRPr="00FB5AA2">
              <w:t>in subsection (1) by deleting the words “telecommunication services and in particular, emergency, public payphone and directory information services” appearing immediately after the word such and substituting therefor the words “basic communication products and services”;</w:t>
            </w:r>
          </w:p>
        </w:tc>
        <w:tc>
          <w:tcPr>
            <w:tcW w:w="5236" w:type="dxa"/>
          </w:tcPr>
          <w:p w:rsidR="00656D71" w:rsidRDefault="00FB5AA2" w:rsidP="00656D71">
            <w:pPr>
              <w:jc w:val="both"/>
            </w:pPr>
            <w:r>
              <w:t>What is the definition of “</w:t>
            </w:r>
            <w:r w:rsidRPr="00FB5AA2">
              <w:t>basic communication products and services</w:t>
            </w:r>
            <w:r>
              <w:t>”</w:t>
            </w:r>
            <w:proofErr w:type="gramStart"/>
            <w:r w:rsidR="00AA53F6">
              <w:t>.</w:t>
            </w:r>
            <w:proofErr w:type="gramEnd"/>
            <w:r w:rsidR="00AA53F6">
              <w:t xml:space="preserve"> </w:t>
            </w:r>
          </w:p>
          <w:p w:rsidR="00FB5AA2" w:rsidRDefault="00FB5AA2" w:rsidP="00656D71">
            <w:pPr>
              <w:jc w:val="both"/>
            </w:pPr>
          </w:p>
        </w:tc>
        <w:tc>
          <w:tcPr>
            <w:tcW w:w="1344" w:type="dxa"/>
          </w:tcPr>
          <w:p w:rsidR="00656D71" w:rsidRDefault="00FB5AA2" w:rsidP="00656D71">
            <w:pPr>
              <w:jc w:val="both"/>
            </w:pPr>
            <w:r>
              <w:t>Maintain original text and perhaps amend to include what is current and exclude what is redundant.</w:t>
            </w:r>
          </w:p>
        </w:tc>
      </w:tr>
      <w:tr w:rsidR="00656D71" w:rsidTr="002F3503">
        <w:tc>
          <w:tcPr>
            <w:tcW w:w="1009" w:type="dxa"/>
          </w:tcPr>
          <w:p w:rsidR="00656D71" w:rsidRPr="00656D71" w:rsidRDefault="008F599D" w:rsidP="00656D71">
            <w:pPr>
              <w:rPr>
                <w:b/>
              </w:rPr>
            </w:pPr>
            <w:r>
              <w:rPr>
                <w:b/>
              </w:rPr>
              <w:t>9(b)(</w:t>
            </w:r>
            <w:proofErr w:type="spellStart"/>
            <w:r>
              <w:rPr>
                <w:b/>
              </w:rPr>
              <w:t>i</w:t>
            </w:r>
            <w:proofErr w:type="spellEnd"/>
            <w:r>
              <w:rPr>
                <w:b/>
              </w:rPr>
              <w:t>)</w:t>
            </w:r>
          </w:p>
        </w:tc>
        <w:tc>
          <w:tcPr>
            <w:tcW w:w="1653" w:type="dxa"/>
          </w:tcPr>
          <w:p w:rsidR="00656D71" w:rsidRDefault="00F35F9C" w:rsidP="008F599D">
            <w:pPr>
              <w:jc w:val="both"/>
            </w:pPr>
            <w:r w:rsidRPr="00F35F9C">
              <w:t xml:space="preserve">Amendment of Section 23 of the Act </w:t>
            </w:r>
            <w:r w:rsidR="008F599D" w:rsidRPr="008F599D">
              <w:t xml:space="preserve">in subsection (2) by </w:t>
            </w:r>
            <w:r w:rsidR="008F599D">
              <w:t>deleting the word “telecommunications’ appearing in paragraphs (a) and (b) and substituting therefor the words</w:t>
            </w:r>
            <w:r>
              <w:t xml:space="preserve"> ‘basic </w:t>
            </w:r>
            <w:r>
              <w:lastRenderedPageBreak/>
              <w:t>products and services”;</w:t>
            </w:r>
          </w:p>
        </w:tc>
        <w:tc>
          <w:tcPr>
            <w:tcW w:w="5236" w:type="dxa"/>
          </w:tcPr>
          <w:p w:rsidR="00656D71" w:rsidRDefault="00F35F9C" w:rsidP="00F35F9C">
            <w:pPr>
              <w:jc w:val="both"/>
            </w:pPr>
            <w:r>
              <w:lastRenderedPageBreak/>
              <w:t>What are “basic products and services”? They cannot have the same meaning as telecommunications</w:t>
            </w:r>
          </w:p>
          <w:p w:rsidR="00AA53F6" w:rsidRDefault="00AA53F6" w:rsidP="00F35F9C">
            <w:pPr>
              <w:jc w:val="both"/>
            </w:pPr>
          </w:p>
          <w:p w:rsidR="00AA53F6" w:rsidRDefault="00AA53F6" w:rsidP="00AA53F6">
            <w:pPr>
              <w:jc w:val="both"/>
            </w:pPr>
          </w:p>
        </w:tc>
        <w:tc>
          <w:tcPr>
            <w:tcW w:w="1344" w:type="dxa"/>
          </w:tcPr>
          <w:p w:rsidR="00656D71" w:rsidRDefault="00F35F9C" w:rsidP="00656D71">
            <w:pPr>
              <w:jc w:val="both"/>
            </w:pPr>
            <w:r>
              <w:t>Retain original text</w:t>
            </w:r>
          </w:p>
        </w:tc>
      </w:tr>
      <w:tr w:rsidR="00656D71" w:rsidTr="002F3503">
        <w:tc>
          <w:tcPr>
            <w:tcW w:w="1009" w:type="dxa"/>
          </w:tcPr>
          <w:p w:rsidR="00656D71" w:rsidRPr="00656D71" w:rsidRDefault="00656D71" w:rsidP="00656D71">
            <w:pPr>
              <w:rPr>
                <w:b/>
              </w:rPr>
            </w:pPr>
          </w:p>
        </w:tc>
        <w:tc>
          <w:tcPr>
            <w:tcW w:w="1653" w:type="dxa"/>
          </w:tcPr>
          <w:p w:rsidR="00656D71" w:rsidRDefault="00F35F9C" w:rsidP="00F35F9C">
            <w:pPr>
              <w:jc w:val="both"/>
            </w:pPr>
            <w:r w:rsidRPr="00F35F9C">
              <w:t>Amendment of Section 23 of the Act</w:t>
            </w:r>
            <w:r>
              <w:t xml:space="preserve"> </w:t>
            </w:r>
            <w:r w:rsidRPr="00F35F9C">
              <w:t>in subsection (2) by deleting the word “telecommunications’ appearing in paragraph(</w:t>
            </w:r>
            <w:r>
              <w:t>c</w:t>
            </w:r>
            <w:r w:rsidRPr="00F35F9C">
              <w:t>) and substituting therefor the word</w:t>
            </w:r>
            <w:r>
              <w:t xml:space="preserve"> “communications”</w:t>
            </w:r>
          </w:p>
        </w:tc>
        <w:tc>
          <w:tcPr>
            <w:tcW w:w="5236" w:type="dxa"/>
          </w:tcPr>
          <w:p w:rsidR="00656D71" w:rsidRDefault="00F35F9C" w:rsidP="00656D71">
            <w:pPr>
              <w:jc w:val="both"/>
            </w:pPr>
            <w:r>
              <w:t>Communications does not mean telecommunications</w:t>
            </w:r>
          </w:p>
          <w:p w:rsidR="00AA53F6" w:rsidRDefault="00AA53F6" w:rsidP="00656D71">
            <w:pPr>
              <w:jc w:val="both"/>
            </w:pPr>
          </w:p>
          <w:p w:rsidR="006319B8" w:rsidRPr="00860498" w:rsidRDefault="006319B8" w:rsidP="006319B8">
            <w:pPr>
              <w:shd w:val="clear" w:color="auto" w:fill="FFFFFF"/>
              <w:rPr>
                <w:rFonts w:ascii="Arial" w:eastAsia="Times New Roman" w:hAnsi="Arial" w:cs="Arial"/>
                <w:color w:val="555555"/>
                <w:sz w:val="20"/>
                <w:szCs w:val="20"/>
                <w:lang w:eastAsia="en-GB"/>
              </w:rPr>
            </w:pPr>
            <w:r w:rsidRPr="00860498">
              <w:rPr>
                <w:rFonts w:ascii="Arial" w:eastAsia="Times New Roman" w:hAnsi="Arial" w:cs="Arial"/>
                <w:color w:val="555555"/>
                <w:sz w:val="20"/>
                <w:szCs w:val="20"/>
                <w:lang w:eastAsia="en-GB"/>
              </w:rPr>
              <w:t>Definition of </w:t>
            </w:r>
            <w:r w:rsidRPr="00860498">
              <w:rPr>
                <w:rFonts w:ascii="Arial" w:eastAsia="Times New Roman" w:hAnsi="Arial" w:cs="Arial"/>
                <w:b/>
                <w:bCs/>
                <w:color w:val="555555"/>
                <w:sz w:val="20"/>
                <w:szCs w:val="20"/>
                <w:lang w:eastAsia="en-GB"/>
              </w:rPr>
              <w:t>TELECOMMUNICATIONS</w:t>
            </w:r>
            <w:r w:rsidRPr="00860498">
              <w:rPr>
                <w:rFonts w:ascii="Arial" w:eastAsia="Times New Roman" w:hAnsi="Arial" w:cs="Arial"/>
                <w:color w:val="555555"/>
                <w:sz w:val="20"/>
                <w:szCs w:val="20"/>
                <w:lang w:eastAsia="en-GB"/>
              </w:rPr>
              <w:t>: Technology and science associated with communications over distances.</w:t>
            </w:r>
            <w:r>
              <w:rPr>
                <w:rFonts w:ascii="Arial" w:eastAsia="Times New Roman" w:hAnsi="Arial" w:cs="Arial"/>
                <w:color w:val="555555"/>
                <w:sz w:val="20"/>
                <w:szCs w:val="20"/>
                <w:lang w:eastAsia="en-GB"/>
              </w:rPr>
              <w:t>-</w:t>
            </w:r>
            <w:r w:rsidRPr="00AC59E0">
              <w:t xml:space="preserve"> </w:t>
            </w:r>
            <w:r w:rsidRPr="00AC59E0">
              <w:rPr>
                <w:rFonts w:ascii="Arial" w:eastAsia="Times New Roman" w:hAnsi="Arial" w:cs="Arial"/>
                <w:color w:val="555555"/>
                <w:sz w:val="20"/>
                <w:szCs w:val="20"/>
                <w:lang w:eastAsia="en-GB"/>
              </w:rPr>
              <w:t>Black's Law Dictionary</w:t>
            </w:r>
          </w:p>
          <w:p w:rsidR="006319B8" w:rsidRDefault="006319B8" w:rsidP="006319B8">
            <w:pPr>
              <w:jc w:val="both"/>
              <w:rPr>
                <w:rFonts w:ascii="Arial" w:eastAsia="Times New Roman" w:hAnsi="Arial" w:cs="Arial"/>
                <w:color w:val="555555"/>
                <w:sz w:val="20"/>
                <w:szCs w:val="20"/>
                <w:lang w:eastAsia="en-GB"/>
              </w:rPr>
            </w:pPr>
            <w:r w:rsidRPr="00860498">
              <w:rPr>
                <w:rFonts w:ascii="Arial" w:eastAsia="Times New Roman" w:hAnsi="Arial" w:cs="Arial"/>
                <w:color w:val="222222"/>
                <w:kern w:val="36"/>
                <w:sz w:val="42"/>
                <w:szCs w:val="42"/>
                <w:lang w:eastAsia="en-GB"/>
              </w:rPr>
              <w:t> </w:t>
            </w:r>
            <w:r w:rsidRPr="00860498">
              <w:rPr>
                <w:rFonts w:ascii="Arial" w:eastAsia="Times New Roman" w:hAnsi="Arial" w:cs="Arial"/>
                <w:color w:val="555555"/>
                <w:sz w:val="20"/>
                <w:szCs w:val="20"/>
                <w:lang w:eastAsia="en-GB"/>
              </w:rPr>
              <w:t>Definition of </w:t>
            </w:r>
            <w:r w:rsidRPr="00860498">
              <w:rPr>
                <w:rFonts w:ascii="Arial" w:eastAsia="Times New Roman" w:hAnsi="Arial" w:cs="Arial"/>
                <w:b/>
                <w:bCs/>
                <w:color w:val="222222"/>
                <w:kern w:val="36"/>
                <w:sz w:val="42"/>
                <w:szCs w:val="42"/>
                <w:bdr w:val="none" w:sz="0" w:space="0" w:color="auto" w:frame="1"/>
                <w:lang w:eastAsia="en-GB"/>
              </w:rPr>
              <w:t xml:space="preserve"> </w:t>
            </w:r>
            <w:r w:rsidRPr="00AC59E0">
              <w:rPr>
                <w:rFonts w:ascii="Arial" w:eastAsia="Times New Roman" w:hAnsi="Arial" w:cs="Arial"/>
                <w:b/>
                <w:bCs/>
                <w:color w:val="555555"/>
                <w:sz w:val="20"/>
                <w:szCs w:val="20"/>
                <w:lang w:eastAsia="en-GB"/>
              </w:rPr>
              <w:t>COMMUNICATIONS</w:t>
            </w:r>
            <w:r>
              <w:rPr>
                <w:rFonts w:ascii="Arial" w:eastAsia="Times New Roman" w:hAnsi="Arial" w:cs="Arial"/>
                <w:b/>
                <w:bCs/>
                <w:color w:val="555555"/>
                <w:sz w:val="20"/>
                <w:szCs w:val="20"/>
                <w:lang w:eastAsia="en-GB"/>
              </w:rPr>
              <w:t xml:space="preserve">: </w:t>
            </w:r>
            <w:r w:rsidRPr="00AC59E0">
              <w:rPr>
                <w:rFonts w:ascii="Arial" w:eastAsia="Times New Roman" w:hAnsi="Arial" w:cs="Arial"/>
                <w:color w:val="555555"/>
                <w:sz w:val="20"/>
                <w:szCs w:val="20"/>
                <w:lang w:eastAsia="en-GB"/>
              </w:rPr>
              <w:t>symbolic or verbal means to send a message</w:t>
            </w:r>
          </w:p>
          <w:p w:rsidR="006319B8" w:rsidRDefault="006319B8" w:rsidP="006319B8">
            <w:pPr>
              <w:jc w:val="both"/>
              <w:rPr>
                <w:rFonts w:ascii="Arial" w:eastAsia="Times New Roman" w:hAnsi="Arial" w:cs="Arial"/>
                <w:color w:val="555555"/>
                <w:sz w:val="20"/>
                <w:szCs w:val="20"/>
                <w:lang w:eastAsia="en-GB"/>
              </w:rPr>
            </w:pPr>
          </w:p>
          <w:p w:rsidR="006319B8" w:rsidRDefault="006319B8" w:rsidP="006319B8">
            <w:pPr>
              <w:jc w:val="both"/>
            </w:pPr>
            <w:r>
              <w:t xml:space="preserve">"telecommunications" means any form of transmission, emission or reception signals, writing, images </w:t>
            </w:r>
          </w:p>
          <w:p w:rsidR="006319B8" w:rsidRDefault="006319B8" w:rsidP="006319B8">
            <w:pPr>
              <w:jc w:val="both"/>
            </w:pPr>
            <w:proofErr w:type="gramStart"/>
            <w:r>
              <w:t>and</w:t>
            </w:r>
            <w:proofErr w:type="gramEnd"/>
            <w:r>
              <w:t xml:space="preserve"> sounds or intelligence of any nature by wire, radio, optical or other electro</w:t>
            </w:r>
            <w:r>
              <w:t>-</w:t>
            </w:r>
            <w:r>
              <w:t>magnetic systems;</w:t>
            </w:r>
            <w:r>
              <w:t xml:space="preserve"> EAC,COMESA,ITU.</w:t>
            </w:r>
            <w:r w:rsidR="002F3503">
              <w:t xml:space="preserve"> </w:t>
            </w:r>
          </w:p>
        </w:tc>
        <w:tc>
          <w:tcPr>
            <w:tcW w:w="1344" w:type="dxa"/>
          </w:tcPr>
          <w:p w:rsidR="00656D71" w:rsidRDefault="00F35F9C" w:rsidP="00656D71">
            <w:pPr>
              <w:jc w:val="both"/>
            </w:pPr>
            <w:r>
              <w:t>Retain original text</w:t>
            </w:r>
          </w:p>
        </w:tc>
      </w:tr>
      <w:tr w:rsidR="00656D71" w:rsidTr="002F3503">
        <w:tc>
          <w:tcPr>
            <w:tcW w:w="1009" w:type="dxa"/>
          </w:tcPr>
          <w:p w:rsidR="00656D71" w:rsidRPr="00656D71" w:rsidRDefault="00CB0DF1" w:rsidP="00656D71">
            <w:pPr>
              <w:rPr>
                <w:b/>
              </w:rPr>
            </w:pPr>
            <w:r>
              <w:rPr>
                <w:b/>
              </w:rPr>
              <w:t>17</w:t>
            </w:r>
          </w:p>
        </w:tc>
        <w:tc>
          <w:tcPr>
            <w:tcW w:w="1653" w:type="dxa"/>
          </w:tcPr>
          <w:p w:rsidR="00656D71" w:rsidRDefault="00CB0DF1" w:rsidP="00656D71">
            <w:pPr>
              <w:jc w:val="both"/>
            </w:pPr>
            <w:r w:rsidRPr="00CB0DF1">
              <w:t>Section 48 of the principal Act is amended in subsection (1) by deleting the word “shall” and substituting thereof the words “may”.</w:t>
            </w:r>
          </w:p>
        </w:tc>
        <w:tc>
          <w:tcPr>
            <w:tcW w:w="5236" w:type="dxa"/>
          </w:tcPr>
          <w:p w:rsidR="009946C1" w:rsidRDefault="00CB0DF1" w:rsidP="00656D71">
            <w:pPr>
              <w:jc w:val="both"/>
            </w:pPr>
            <w:r>
              <w:t>This a new way to open up duplicate and/or parallel for providing postal services such as P.O. Boxes, Zip Codes, etc.</w:t>
            </w:r>
            <w:r w:rsidR="009946C1">
              <w:t xml:space="preserve"> And who know what goods will be carried in the parallel postal systems?</w:t>
            </w:r>
          </w:p>
        </w:tc>
        <w:tc>
          <w:tcPr>
            <w:tcW w:w="1344" w:type="dxa"/>
          </w:tcPr>
          <w:p w:rsidR="00656D71" w:rsidRDefault="009946C1" w:rsidP="00656D71">
            <w:pPr>
              <w:jc w:val="both"/>
            </w:pPr>
            <w:r>
              <w:t>Retain original text.</w:t>
            </w:r>
          </w:p>
        </w:tc>
      </w:tr>
      <w:tr w:rsidR="00656D71" w:rsidTr="002F3503">
        <w:tc>
          <w:tcPr>
            <w:tcW w:w="1009" w:type="dxa"/>
          </w:tcPr>
          <w:p w:rsidR="00656D71" w:rsidRPr="00656D71" w:rsidRDefault="009946C1" w:rsidP="00656D71">
            <w:pPr>
              <w:rPr>
                <w:b/>
              </w:rPr>
            </w:pPr>
            <w:r>
              <w:rPr>
                <w:b/>
              </w:rPr>
              <w:t>19.</w:t>
            </w:r>
          </w:p>
        </w:tc>
        <w:tc>
          <w:tcPr>
            <w:tcW w:w="1653" w:type="dxa"/>
          </w:tcPr>
          <w:p w:rsidR="00656D71" w:rsidRDefault="009946C1" w:rsidP="00656D71">
            <w:pPr>
              <w:jc w:val="both"/>
            </w:pPr>
            <w:r w:rsidRPr="009946C1">
              <w:t>The principal Act is amended by inserting the words “AND CYBERCRIME” in the heading to Part IVA.</w:t>
            </w:r>
          </w:p>
        </w:tc>
        <w:tc>
          <w:tcPr>
            <w:tcW w:w="5236" w:type="dxa"/>
          </w:tcPr>
          <w:p w:rsidR="00656D71" w:rsidRDefault="009946C1" w:rsidP="00656D71">
            <w:pPr>
              <w:jc w:val="both"/>
            </w:pPr>
            <w:r>
              <w:t>Cybercrime is an offence and should not appear in the title</w:t>
            </w:r>
          </w:p>
        </w:tc>
        <w:tc>
          <w:tcPr>
            <w:tcW w:w="1344" w:type="dxa"/>
          </w:tcPr>
          <w:p w:rsidR="00656D71" w:rsidRDefault="009946C1" w:rsidP="00656D71">
            <w:pPr>
              <w:jc w:val="both"/>
            </w:pPr>
            <w:r>
              <w:t>Retain original heading</w:t>
            </w:r>
          </w:p>
        </w:tc>
      </w:tr>
      <w:tr w:rsidR="009946C1" w:rsidTr="002F3503">
        <w:tc>
          <w:tcPr>
            <w:tcW w:w="1009" w:type="dxa"/>
          </w:tcPr>
          <w:p w:rsidR="009946C1" w:rsidRPr="009946C1" w:rsidRDefault="009946C1" w:rsidP="00656D71">
            <w:pPr>
              <w:rPr>
                <w:b/>
              </w:rPr>
            </w:pPr>
            <w:r>
              <w:rPr>
                <w:b/>
              </w:rPr>
              <w:t>20(b)(h)</w:t>
            </w:r>
          </w:p>
        </w:tc>
        <w:tc>
          <w:tcPr>
            <w:tcW w:w="1653" w:type="dxa"/>
          </w:tcPr>
          <w:p w:rsidR="009946C1" w:rsidRDefault="009946C1" w:rsidP="009946C1">
            <w:pPr>
              <w:jc w:val="both"/>
            </w:pPr>
            <w:r w:rsidRPr="009946C1">
              <w:t>Section 83C of the principal Act is amended</w:t>
            </w:r>
            <w:r>
              <w:t xml:space="preserve"> by </w:t>
            </w:r>
            <w:r w:rsidRPr="009946C1">
              <w:t>inserting a new paragraph immediately after paragraph (f) as follows</w:t>
            </w:r>
            <w:r>
              <w:t>:</w:t>
            </w:r>
          </w:p>
          <w:p w:rsidR="009946C1" w:rsidRDefault="009946C1" w:rsidP="009946C1">
            <w:pPr>
              <w:jc w:val="both"/>
            </w:pPr>
            <w:r>
              <w:t xml:space="preserve">(h) </w:t>
            </w:r>
            <w:r w:rsidRPr="009946C1">
              <w:t>“develop a framework for facilitating the investigation and prosecution of cybercrime offences”</w:t>
            </w:r>
          </w:p>
        </w:tc>
        <w:tc>
          <w:tcPr>
            <w:tcW w:w="5236" w:type="dxa"/>
          </w:tcPr>
          <w:p w:rsidR="009946C1" w:rsidRDefault="009946C1" w:rsidP="00220F39">
            <w:pPr>
              <w:jc w:val="both"/>
            </w:pPr>
            <w:r>
              <w:t xml:space="preserve">Investigation and prosecution of crimes if the work of law enforcement agencies and this role </w:t>
            </w:r>
            <w:r w:rsidR="00220F39">
              <w:t xml:space="preserve">should </w:t>
            </w:r>
            <w:r>
              <w:t>not be assigned to the regulator.</w:t>
            </w:r>
          </w:p>
        </w:tc>
        <w:tc>
          <w:tcPr>
            <w:tcW w:w="1344" w:type="dxa"/>
          </w:tcPr>
          <w:p w:rsidR="009946C1" w:rsidRDefault="009946C1" w:rsidP="00656D71">
            <w:pPr>
              <w:jc w:val="both"/>
            </w:pPr>
          </w:p>
        </w:tc>
      </w:tr>
      <w:tr w:rsidR="00656D71" w:rsidTr="002F3503">
        <w:tc>
          <w:tcPr>
            <w:tcW w:w="1009" w:type="dxa"/>
          </w:tcPr>
          <w:p w:rsidR="00656D71" w:rsidRPr="009946C1" w:rsidRDefault="009946C1" w:rsidP="00656D71">
            <w:pPr>
              <w:rPr>
                <w:b/>
              </w:rPr>
            </w:pPr>
            <w:r w:rsidRPr="009946C1">
              <w:rPr>
                <w:b/>
              </w:rPr>
              <w:lastRenderedPageBreak/>
              <w:t>21</w:t>
            </w:r>
          </w:p>
        </w:tc>
        <w:tc>
          <w:tcPr>
            <w:tcW w:w="1653" w:type="dxa"/>
          </w:tcPr>
          <w:p w:rsidR="00656D71" w:rsidRDefault="009946C1" w:rsidP="00850D21">
            <w:pPr>
              <w:jc w:val="both"/>
            </w:pPr>
            <w:r w:rsidRPr="009946C1">
              <w:t xml:space="preserve">The principal Act is amended by deleting sections 83E (2), </w:t>
            </w:r>
          </w:p>
        </w:tc>
        <w:tc>
          <w:tcPr>
            <w:tcW w:w="5236" w:type="dxa"/>
          </w:tcPr>
          <w:p w:rsidR="009946C1" w:rsidRDefault="009946C1" w:rsidP="00656D71">
            <w:pPr>
              <w:jc w:val="both"/>
            </w:pPr>
            <w:r>
              <w:t>Electronic certification service providers will be responsible for issuing electronic/</w:t>
            </w:r>
          </w:p>
          <w:p w:rsidR="00656D71" w:rsidRDefault="00850D21" w:rsidP="00850D21">
            <w:pPr>
              <w:jc w:val="both"/>
            </w:pPr>
            <w:r>
              <w:t>Digital</w:t>
            </w:r>
            <w:r w:rsidR="009946C1">
              <w:t xml:space="preserve"> signature</w:t>
            </w:r>
            <w:r>
              <w:t>s</w:t>
            </w:r>
            <w:r w:rsidR="009946C1">
              <w:t xml:space="preserve">. They cannot be allowed to operate as they wish without </w:t>
            </w:r>
            <w:r>
              <w:t xml:space="preserve">any </w:t>
            </w:r>
            <w:r w:rsidR="009946C1">
              <w:t>regulat</w:t>
            </w:r>
            <w:r>
              <w:t>ion</w:t>
            </w:r>
          </w:p>
        </w:tc>
        <w:tc>
          <w:tcPr>
            <w:tcW w:w="1344" w:type="dxa"/>
          </w:tcPr>
          <w:p w:rsidR="00656D71" w:rsidRDefault="001300BC" w:rsidP="00656D71">
            <w:pPr>
              <w:jc w:val="both"/>
            </w:pPr>
            <w:r>
              <w:t>Retain original text</w:t>
            </w:r>
          </w:p>
        </w:tc>
      </w:tr>
      <w:tr w:rsidR="009946C1" w:rsidTr="002F3503">
        <w:tc>
          <w:tcPr>
            <w:tcW w:w="1009" w:type="dxa"/>
          </w:tcPr>
          <w:p w:rsidR="009946C1" w:rsidRPr="009946C1" w:rsidRDefault="00850D21" w:rsidP="00656D71">
            <w:pPr>
              <w:rPr>
                <w:b/>
              </w:rPr>
            </w:pPr>
            <w:r>
              <w:rPr>
                <w:b/>
              </w:rPr>
              <w:t>21</w:t>
            </w:r>
          </w:p>
        </w:tc>
        <w:tc>
          <w:tcPr>
            <w:tcW w:w="1653" w:type="dxa"/>
          </w:tcPr>
          <w:p w:rsidR="009946C1" w:rsidRDefault="00850D21" w:rsidP="00656D71">
            <w:pPr>
              <w:jc w:val="both"/>
            </w:pPr>
            <w:r w:rsidRPr="009946C1">
              <w:t>The principal Act is amended by deleting sections 83U to 84I, both sections inclusive</w:t>
            </w:r>
          </w:p>
        </w:tc>
        <w:tc>
          <w:tcPr>
            <w:tcW w:w="5236" w:type="dxa"/>
          </w:tcPr>
          <w:p w:rsidR="009946C1" w:rsidRDefault="00850D21" w:rsidP="00220F39">
            <w:pPr>
              <w:jc w:val="both"/>
            </w:pPr>
            <w:r>
              <w:t xml:space="preserve">These sections (83U-83I) are the provisions for </w:t>
            </w:r>
            <w:r w:rsidR="002F3503">
              <w:t xml:space="preserve">potential </w:t>
            </w:r>
            <w:r>
              <w:t>cybercrime</w:t>
            </w:r>
            <w:r w:rsidR="002F3503">
              <w:t>s</w:t>
            </w:r>
            <w:r>
              <w:t>. Deleting them creates a gap in prosecution of cyber</w:t>
            </w:r>
            <w:r w:rsidR="00220F39">
              <w:t xml:space="preserve"> offences.</w:t>
            </w:r>
          </w:p>
        </w:tc>
        <w:tc>
          <w:tcPr>
            <w:tcW w:w="1344" w:type="dxa"/>
          </w:tcPr>
          <w:p w:rsidR="009946C1" w:rsidRDefault="001300BC" w:rsidP="00656D71">
            <w:pPr>
              <w:jc w:val="both"/>
            </w:pPr>
            <w:r>
              <w:t>Retain original text</w:t>
            </w:r>
          </w:p>
        </w:tc>
      </w:tr>
      <w:tr w:rsidR="009946C1" w:rsidTr="002F3503">
        <w:tc>
          <w:tcPr>
            <w:tcW w:w="1009" w:type="dxa"/>
          </w:tcPr>
          <w:p w:rsidR="009946C1" w:rsidRPr="009946C1" w:rsidRDefault="001300BC" w:rsidP="00656D71">
            <w:pPr>
              <w:rPr>
                <w:b/>
              </w:rPr>
            </w:pPr>
            <w:r>
              <w:rPr>
                <w:b/>
              </w:rPr>
              <w:t>30</w:t>
            </w:r>
          </w:p>
        </w:tc>
        <w:tc>
          <w:tcPr>
            <w:tcW w:w="1653" w:type="dxa"/>
          </w:tcPr>
          <w:p w:rsidR="009946C1" w:rsidRDefault="001300BC" w:rsidP="00656D71">
            <w:pPr>
              <w:jc w:val="both"/>
            </w:pPr>
            <w:r w:rsidRPr="001300BC">
              <w:t>Section 84W of the principal Act is amended</w:t>
            </w:r>
            <w:r>
              <w:t xml:space="preserve"> </w:t>
            </w:r>
            <w:r w:rsidRPr="001300BC">
              <w:t>by deleting the word “telecommunication” wherever it appears and substituting therefor the word “communication”</w:t>
            </w:r>
          </w:p>
        </w:tc>
        <w:tc>
          <w:tcPr>
            <w:tcW w:w="5236" w:type="dxa"/>
          </w:tcPr>
          <w:p w:rsidR="009946C1" w:rsidRDefault="001300BC" w:rsidP="00656D71">
            <w:pPr>
              <w:jc w:val="both"/>
            </w:pPr>
            <w:r>
              <w:t>Communications does not mean telecommunications</w:t>
            </w:r>
          </w:p>
        </w:tc>
        <w:tc>
          <w:tcPr>
            <w:tcW w:w="1344" w:type="dxa"/>
          </w:tcPr>
          <w:p w:rsidR="009946C1" w:rsidRDefault="001300BC" w:rsidP="00656D71">
            <w:pPr>
              <w:jc w:val="both"/>
            </w:pPr>
            <w:r>
              <w:t>Retain original text</w:t>
            </w:r>
          </w:p>
        </w:tc>
      </w:tr>
      <w:tr w:rsidR="009946C1" w:rsidTr="002F3503">
        <w:tc>
          <w:tcPr>
            <w:tcW w:w="1009" w:type="dxa"/>
          </w:tcPr>
          <w:p w:rsidR="009946C1" w:rsidRPr="009946C1" w:rsidRDefault="001300BC" w:rsidP="00656D71">
            <w:pPr>
              <w:rPr>
                <w:b/>
              </w:rPr>
            </w:pPr>
            <w:r>
              <w:rPr>
                <w:b/>
              </w:rPr>
              <w:t>31</w:t>
            </w:r>
          </w:p>
        </w:tc>
        <w:tc>
          <w:tcPr>
            <w:tcW w:w="1653" w:type="dxa"/>
          </w:tcPr>
          <w:p w:rsidR="009946C1" w:rsidRDefault="004B3D47" w:rsidP="00656D71">
            <w:pPr>
              <w:jc w:val="both"/>
            </w:pPr>
            <w:r w:rsidRPr="004B3D47">
              <w:t xml:space="preserve">Section 102 of the principal Act is amended by </w:t>
            </w:r>
            <w:r w:rsidR="001300BC" w:rsidRPr="001300BC">
              <w:t>deleting subsection (1) and substituting the following new subsection</w:t>
            </w:r>
            <w:r>
              <w:t>……</w:t>
            </w:r>
          </w:p>
        </w:tc>
        <w:tc>
          <w:tcPr>
            <w:tcW w:w="5236" w:type="dxa"/>
          </w:tcPr>
          <w:p w:rsidR="009946C1" w:rsidRDefault="004B3D47" w:rsidP="00656D71">
            <w:pPr>
              <w:jc w:val="both"/>
            </w:pPr>
            <w:r>
              <w:t>By deleting the whole of subsection (1), we remove the provisions for establishment and composition or the Tribunal</w:t>
            </w:r>
          </w:p>
        </w:tc>
        <w:tc>
          <w:tcPr>
            <w:tcW w:w="1344" w:type="dxa"/>
          </w:tcPr>
          <w:p w:rsidR="009946C1" w:rsidRDefault="004B3D47" w:rsidP="00656D71">
            <w:pPr>
              <w:jc w:val="both"/>
            </w:pPr>
            <w:r>
              <w:t>Retain Section 1 with amendments to meet the requirements of the Constitution</w:t>
            </w:r>
          </w:p>
        </w:tc>
      </w:tr>
      <w:tr w:rsidR="009946C1" w:rsidTr="002F3503">
        <w:tc>
          <w:tcPr>
            <w:tcW w:w="1009" w:type="dxa"/>
          </w:tcPr>
          <w:p w:rsidR="009946C1" w:rsidRPr="009946C1" w:rsidRDefault="00E602D5" w:rsidP="00656D71">
            <w:pPr>
              <w:rPr>
                <w:b/>
              </w:rPr>
            </w:pPr>
            <w:r>
              <w:rPr>
                <w:b/>
              </w:rPr>
              <w:t>32(3)</w:t>
            </w:r>
          </w:p>
        </w:tc>
        <w:tc>
          <w:tcPr>
            <w:tcW w:w="1653" w:type="dxa"/>
          </w:tcPr>
          <w:p w:rsidR="009946C1" w:rsidRDefault="00E602D5" w:rsidP="00656D71">
            <w:pPr>
              <w:jc w:val="both"/>
            </w:pPr>
            <w:r w:rsidRPr="00E602D5">
              <w:t>there shall be three slots for representatives from the broadcasting, telecommunications and postal sectors to attend Council meetings as observers</w:t>
            </w:r>
          </w:p>
        </w:tc>
        <w:tc>
          <w:tcPr>
            <w:tcW w:w="5236" w:type="dxa"/>
          </w:tcPr>
          <w:p w:rsidR="009946C1" w:rsidRDefault="00E602D5" w:rsidP="00656D71">
            <w:pPr>
              <w:jc w:val="both"/>
            </w:pPr>
            <w:r>
              <w:t>The IT subsector is an important one in the ICT industry</w:t>
            </w:r>
          </w:p>
        </w:tc>
        <w:tc>
          <w:tcPr>
            <w:tcW w:w="1344" w:type="dxa"/>
          </w:tcPr>
          <w:p w:rsidR="009946C1" w:rsidRDefault="00E602D5" w:rsidP="00656D71">
            <w:pPr>
              <w:jc w:val="both"/>
            </w:pPr>
            <w:r>
              <w:t>Include a representative from the IT sector</w:t>
            </w:r>
          </w:p>
        </w:tc>
      </w:tr>
      <w:tr w:rsidR="001300BC" w:rsidTr="002F3503">
        <w:tc>
          <w:tcPr>
            <w:tcW w:w="1009" w:type="dxa"/>
          </w:tcPr>
          <w:p w:rsidR="001300BC" w:rsidRPr="009946C1" w:rsidRDefault="00E602D5" w:rsidP="00656D71">
            <w:pPr>
              <w:rPr>
                <w:b/>
              </w:rPr>
            </w:pPr>
            <w:r>
              <w:rPr>
                <w:b/>
              </w:rPr>
              <w:t>35</w:t>
            </w:r>
          </w:p>
        </w:tc>
        <w:tc>
          <w:tcPr>
            <w:tcW w:w="1653" w:type="dxa"/>
          </w:tcPr>
          <w:p w:rsidR="001300BC" w:rsidRDefault="00E602D5" w:rsidP="00656D71">
            <w:pPr>
              <w:jc w:val="both"/>
            </w:pPr>
            <w:r w:rsidRPr="00E602D5">
              <w:t xml:space="preserve">The Second Schedule to the principal Act is amended by deleting </w:t>
            </w:r>
            <w:r w:rsidRPr="00E602D5">
              <w:lastRenderedPageBreak/>
              <w:t>paragraph 1</w:t>
            </w:r>
          </w:p>
        </w:tc>
        <w:tc>
          <w:tcPr>
            <w:tcW w:w="5236" w:type="dxa"/>
          </w:tcPr>
          <w:p w:rsidR="001300BC" w:rsidRDefault="00E602D5" w:rsidP="00656D71">
            <w:pPr>
              <w:jc w:val="both"/>
            </w:pPr>
            <w:r>
              <w:lastRenderedPageBreak/>
              <w:t>Deleting paragraph 1 of Second Schedule removes the provision for how long Tribunal members will serve</w:t>
            </w:r>
          </w:p>
        </w:tc>
        <w:tc>
          <w:tcPr>
            <w:tcW w:w="1344" w:type="dxa"/>
          </w:tcPr>
          <w:p w:rsidR="001300BC" w:rsidRDefault="00E602D5" w:rsidP="00656D71">
            <w:pPr>
              <w:jc w:val="both"/>
            </w:pPr>
            <w:r>
              <w:t>Retain original text with amendments, if any.</w:t>
            </w:r>
          </w:p>
        </w:tc>
      </w:tr>
    </w:tbl>
    <w:p w:rsidR="00656D71" w:rsidRDefault="00656D71" w:rsidP="002F3503"/>
    <w:sectPr w:rsidR="00656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258C"/>
    <w:multiLevelType w:val="hybridMultilevel"/>
    <w:tmpl w:val="64520A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71"/>
    <w:rsid w:val="00010A6B"/>
    <w:rsid w:val="0001367D"/>
    <w:rsid w:val="0002207C"/>
    <w:rsid w:val="0002774B"/>
    <w:rsid w:val="00036A08"/>
    <w:rsid w:val="00040087"/>
    <w:rsid w:val="000468B3"/>
    <w:rsid w:val="00062982"/>
    <w:rsid w:val="00066F83"/>
    <w:rsid w:val="00074A84"/>
    <w:rsid w:val="000814F6"/>
    <w:rsid w:val="00090932"/>
    <w:rsid w:val="000B162D"/>
    <w:rsid w:val="000B2F3C"/>
    <w:rsid w:val="000B32CF"/>
    <w:rsid w:val="000C3670"/>
    <w:rsid w:val="000D2F77"/>
    <w:rsid w:val="000D3D59"/>
    <w:rsid w:val="000E1443"/>
    <w:rsid w:val="000E1A3A"/>
    <w:rsid w:val="000E7207"/>
    <w:rsid w:val="000E7918"/>
    <w:rsid w:val="000F44AE"/>
    <w:rsid w:val="000F4907"/>
    <w:rsid w:val="000F6564"/>
    <w:rsid w:val="001007F6"/>
    <w:rsid w:val="00105E0C"/>
    <w:rsid w:val="001064ED"/>
    <w:rsid w:val="00106B38"/>
    <w:rsid w:val="001173F2"/>
    <w:rsid w:val="001237E7"/>
    <w:rsid w:val="00125C02"/>
    <w:rsid w:val="00127662"/>
    <w:rsid w:val="001300BC"/>
    <w:rsid w:val="00136767"/>
    <w:rsid w:val="00136EE7"/>
    <w:rsid w:val="001413EA"/>
    <w:rsid w:val="00143B0F"/>
    <w:rsid w:val="0016261A"/>
    <w:rsid w:val="00162674"/>
    <w:rsid w:val="00174D70"/>
    <w:rsid w:val="001778BB"/>
    <w:rsid w:val="001836DC"/>
    <w:rsid w:val="001917C8"/>
    <w:rsid w:val="001A34A0"/>
    <w:rsid w:val="001B3646"/>
    <w:rsid w:val="001B7DBF"/>
    <w:rsid w:val="001C0522"/>
    <w:rsid w:val="001C0A66"/>
    <w:rsid w:val="001C13DB"/>
    <w:rsid w:val="001C336C"/>
    <w:rsid w:val="001D3093"/>
    <w:rsid w:val="001D4D5B"/>
    <w:rsid w:val="001E2B08"/>
    <w:rsid w:val="00200543"/>
    <w:rsid w:val="002016B5"/>
    <w:rsid w:val="00204069"/>
    <w:rsid w:val="002060A4"/>
    <w:rsid w:val="002075C6"/>
    <w:rsid w:val="00210332"/>
    <w:rsid w:val="00210B5D"/>
    <w:rsid w:val="00212E99"/>
    <w:rsid w:val="00220F39"/>
    <w:rsid w:val="0022165F"/>
    <w:rsid w:val="002229E3"/>
    <w:rsid w:val="002374EA"/>
    <w:rsid w:val="002439F9"/>
    <w:rsid w:val="00246612"/>
    <w:rsid w:val="002517F5"/>
    <w:rsid w:val="00252CDB"/>
    <w:rsid w:val="00256EB5"/>
    <w:rsid w:val="002654AD"/>
    <w:rsid w:val="0027432B"/>
    <w:rsid w:val="0028107B"/>
    <w:rsid w:val="00292F62"/>
    <w:rsid w:val="00294820"/>
    <w:rsid w:val="002A15C9"/>
    <w:rsid w:val="002A31D9"/>
    <w:rsid w:val="002A7AA8"/>
    <w:rsid w:val="002B5AD5"/>
    <w:rsid w:val="002C244F"/>
    <w:rsid w:val="002D4A3E"/>
    <w:rsid w:val="002E31FD"/>
    <w:rsid w:val="002F15BD"/>
    <w:rsid w:val="002F3503"/>
    <w:rsid w:val="002F4EE3"/>
    <w:rsid w:val="002F5726"/>
    <w:rsid w:val="002F77CD"/>
    <w:rsid w:val="003031F4"/>
    <w:rsid w:val="00313F7C"/>
    <w:rsid w:val="003168CC"/>
    <w:rsid w:val="00322268"/>
    <w:rsid w:val="003236F2"/>
    <w:rsid w:val="00335A6A"/>
    <w:rsid w:val="00346D0A"/>
    <w:rsid w:val="00350BF7"/>
    <w:rsid w:val="00361C12"/>
    <w:rsid w:val="00362166"/>
    <w:rsid w:val="003635B9"/>
    <w:rsid w:val="00386B17"/>
    <w:rsid w:val="00386CEA"/>
    <w:rsid w:val="003969B4"/>
    <w:rsid w:val="003B1148"/>
    <w:rsid w:val="003B30A8"/>
    <w:rsid w:val="003C2611"/>
    <w:rsid w:val="003C2E49"/>
    <w:rsid w:val="003C6E03"/>
    <w:rsid w:val="003E1765"/>
    <w:rsid w:val="003E7741"/>
    <w:rsid w:val="003E7D61"/>
    <w:rsid w:val="003F5F32"/>
    <w:rsid w:val="0040251D"/>
    <w:rsid w:val="0043407B"/>
    <w:rsid w:val="00435185"/>
    <w:rsid w:val="004426AA"/>
    <w:rsid w:val="004541C4"/>
    <w:rsid w:val="00460ACD"/>
    <w:rsid w:val="00464F97"/>
    <w:rsid w:val="00492B0C"/>
    <w:rsid w:val="004A1A5D"/>
    <w:rsid w:val="004A2CD6"/>
    <w:rsid w:val="004A77D6"/>
    <w:rsid w:val="004B3D47"/>
    <w:rsid w:val="004E2FC8"/>
    <w:rsid w:val="004F28BB"/>
    <w:rsid w:val="00500629"/>
    <w:rsid w:val="00501458"/>
    <w:rsid w:val="00501A1C"/>
    <w:rsid w:val="0050388D"/>
    <w:rsid w:val="005373CA"/>
    <w:rsid w:val="0054340E"/>
    <w:rsid w:val="00556A03"/>
    <w:rsid w:val="00560DFC"/>
    <w:rsid w:val="00562971"/>
    <w:rsid w:val="00564DAE"/>
    <w:rsid w:val="00570584"/>
    <w:rsid w:val="005738FD"/>
    <w:rsid w:val="005776A7"/>
    <w:rsid w:val="0058576C"/>
    <w:rsid w:val="00595214"/>
    <w:rsid w:val="005973B3"/>
    <w:rsid w:val="005B6713"/>
    <w:rsid w:val="005C0577"/>
    <w:rsid w:val="005D1152"/>
    <w:rsid w:val="005D2067"/>
    <w:rsid w:val="005E37A5"/>
    <w:rsid w:val="005E5AC3"/>
    <w:rsid w:val="005E7704"/>
    <w:rsid w:val="005E7CC0"/>
    <w:rsid w:val="005F467F"/>
    <w:rsid w:val="00604430"/>
    <w:rsid w:val="00623F2F"/>
    <w:rsid w:val="006248E8"/>
    <w:rsid w:val="006319B8"/>
    <w:rsid w:val="00656D71"/>
    <w:rsid w:val="00660C89"/>
    <w:rsid w:val="00661DCE"/>
    <w:rsid w:val="00663C01"/>
    <w:rsid w:val="00663C16"/>
    <w:rsid w:val="00664B5C"/>
    <w:rsid w:val="0066597A"/>
    <w:rsid w:val="0067531C"/>
    <w:rsid w:val="0067773E"/>
    <w:rsid w:val="006945E7"/>
    <w:rsid w:val="006A3044"/>
    <w:rsid w:val="006B4DE7"/>
    <w:rsid w:val="006B6EEA"/>
    <w:rsid w:val="006C0186"/>
    <w:rsid w:val="006C396D"/>
    <w:rsid w:val="006C3DA9"/>
    <w:rsid w:val="006D1547"/>
    <w:rsid w:val="006D17D6"/>
    <w:rsid w:val="006D64BA"/>
    <w:rsid w:val="006E0F06"/>
    <w:rsid w:val="006E1A27"/>
    <w:rsid w:val="006E2440"/>
    <w:rsid w:val="006E26F2"/>
    <w:rsid w:val="00710F81"/>
    <w:rsid w:val="00721DEE"/>
    <w:rsid w:val="00724CF4"/>
    <w:rsid w:val="00726B53"/>
    <w:rsid w:val="00756F03"/>
    <w:rsid w:val="00761EEC"/>
    <w:rsid w:val="00764BB4"/>
    <w:rsid w:val="00767EC8"/>
    <w:rsid w:val="007733EB"/>
    <w:rsid w:val="007764F3"/>
    <w:rsid w:val="00777DD2"/>
    <w:rsid w:val="00781AC5"/>
    <w:rsid w:val="0078361B"/>
    <w:rsid w:val="007838FB"/>
    <w:rsid w:val="00785584"/>
    <w:rsid w:val="0078582A"/>
    <w:rsid w:val="007927B2"/>
    <w:rsid w:val="007A06F3"/>
    <w:rsid w:val="007A0993"/>
    <w:rsid w:val="007A29F5"/>
    <w:rsid w:val="007A3757"/>
    <w:rsid w:val="007B77B1"/>
    <w:rsid w:val="007D29E4"/>
    <w:rsid w:val="007D2B92"/>
    <w:rsid w:val="007D5A18"/>
    <w:rsid w:val="007E29CB"/>
    <w:rsid w:val="007E544E"/>
    <w:rsid w:val="007F5739"/>
    <w:rsid w:val="00804DD5"/>
    <w:rsid w:val="00820EE2"/>
    <w:rsid w:val="0082669E"/>
    <w:rsid w:val="00833017"/>
    <w:rsid w:val="0083329D"/>
    <w:rsid w:val="00837341"/>
    <w:rsid w:val="008379B3"/>
    <w:rsid w:val="008406C7"/>
    <w:rsid w:val="008466DE"/>
    <w:rsid w:val="00846FB0"/>
    <w:rsid w:val="00850D21"/>
    <w:rsid w:val="00873B18"/>
    <w:rsid w:val="0087563A"/>
    <w:rsid w:val="008776C5"/>
    <w:rsid w:val="00880754"/>
    <w:rsid w:val="00883420"/>
    <w:rsid w:val="00883D39"/>
    <w:rsid w:val="008869A9"/>
    <w:rsid w:val="00890784"/>
    <w:rsid w:val="00896541"/>
    <w:rsid w:val="008B3E67"/>
    <w:rsid w:val="008C4B3F"/>
    <w:rsid w:val="008C7638"/>
    <w:rsid w:val="008D02D9"/>
    <w:rsid w:val="008D06E3"/>
    <w:rsid w:val="008D6470"/>
    <w:rsid w:val="008D6B43"/>
    <w:rsid w:val="008D7B80"/>
    <w:rsid w:val="008E659C"/>
    <w:rsid w:val="008F3A06"/>
    <w:rsid w:val="008F4090"/>
    <w:rsid w:val="008F599D"/>
    <w:rsid w:val="008F7591"/>
    <w:rsid w:val="00901C4A"/>
    <w:rsid w:val="0090459D"/>
    <w:rsid w:val="009047DE"/>
    <w:rsid w:val="0090746F"/>
    <w:rsid w:val="00914EE9"/>
    <w:rsid w:val="00933AF7"/>
    <w:rsid w:val="00941F8B"/>
    <w:rsid w:val="0095045C"/>
    <w:rsid w:val="0095232C"/>
    <w:rsid w:val="00953147"/>
    <w:rsid w:val="00953CF9"/>
    <w:rsid w:val="00981302"/>
    <w:rsid w:val="00983F53"/>
    <w:rsid w:val="009946C1"/>
    <w:rsid w:val="009A0794"/>
    <w:rsid w:val="009A2660"/>
    <w:rsid w:val="009A4777"/>
    <w:rsid w:val="009A6A3A"/>
    <w:rsid w:val="009D254D"/>
    <w:rsid w:val="009D312C"/>
    <w:rsid w:val="009F2EC9"/>
    <w:rsid w:val="00A01814"/>
    <w:rsid w:val="00A0367E"/>
    <w:rsid w:val="00A0530F"/>
    <w:rsid w:val="00A15859"/>
    <w:rsid w:val="00A15B8E"/>
    <w:rsid w:val="00A208D5"/>
    <w:rsid w:val="00A26769"/>
    <w:rsid w:val="00A313C0"/>
    <w:rsid w:val="00A317B7"/>
    <w:rsid w:val="00A351C9"/>
    <w:rsid w:val="00A36EDC"/>
    <w:rsid w:val="00A47246"/>
    <w:rsid w:val="00A6042D"/>
    <w:rsid w:val="00A647DF"/>
    <w:rsid w:val="00A719B1"/>
    <w:rsid w:val="00A769DC"/>
    <w:rsid w:val="00A76ACF"/>
    <w:rsid w:val="00A85CDD"/>
    <w:rsid w:val="00A910FA"/>
    <w:rsid w:val="00A94217"/>
    <w:rsid w:val="00AA53F6"/>
    <w:rsid w:val="00AB2C89"/>
    <w:rsid w:val="00AB715B"/>
    <w:rsid w:val="00AC43D0"/>
    <w:rsid w:val="00AC45AD"/>
    <w:rsid w:val="00AC59E0"/>
    <w:rsid w:val="00AD0473"/>
    <w:rsid w:val="00AD6211"/>
    <w:rsid w:val="00AE0BFA"/>
    <w:rsid w:val="00AE6C91"/>
    <w:rsid w:val="00AF0A13"/>
    <w:rsid w:val="00B1046D"/>
    <w:rsid w:val="00B235F1"/>
    <w:rsid w:val="00B23806"/>
    <w:rsid w:val="00B323AF"/>
    <w:rsid w:val="00B433A7"/>
    <w:rsid w:val="00B46D99"/>
    <w:rsid w:val="00B60199"/>
    <w:rsid w:val="00B67688"/>
    <w:rsid w:val="00B67E12"/>
    <w:rsid w:val="00B67F3F"/>
    <w:rsid w:val="00B74FC6"/>
    <w:rsid w:val="00B76C7B"/>
    <w:rsid w:val="00B76DD7"/>
    <w:rsid w:val="00B77332"/>
    <w:rsid w:val="00B801F1"/>
    <w:rsid w:val="00B83D13"/>
    <w:rsid w:val="00B86B43"/>
    <w:rsid w:val="00B95970"/>
    <w:rsid w:val="00BB2FF4"/>
    <w:rsid w:val="00BC07C4"/>
    <w:rsid w:val="00BC2A69"/>
    <w:rsid w:val="00BC2CA3"/>
    <w:rsid w:val="00BC2D2C"/>
    <w:rsid w:val="00BD15C2"/>
    <w:rsid w:val="00BD5AF2"/>
    <w:rsid w:val="00BE657E"/>
    <w:rsid w:val="00BF4D1A"/>
    <w:rsid w:val="00C17636"/>
    <w:rsid w:val="00C257E5"/>
    <w:rsid w:val="00C30D38"/>
    <w:rsid w:val="00C4254A"/>
    <w:rsid w:val="00C54F2F"/>
    <w:rsid w:val="00C607F1"/>
    <w:rsid w:val="00C740E5"/>
    <w:rsid w:val="00C77F97"/>
    <w:rsid w:val="00C80F88"/>
    <w:rsid w:val="00C82DC4"/>
    <w:rsid w:val="00C85CBD"/>
    <w:rsid w:val="00C86DBD"/>
    <w:rsid w:val="00CB0532"/>
    <w:rsid w:val="00CB0DF1"/>
    <w:rsid w:val="00CB333A"/>
    <w:rsid w:val="00CB4036"/>
    <w:rsid w:val="00CB5138"/>
    <w:rsid w:val="00CB5EED"/>
    <w:rsid w:val="00CB771E"/>
    <w:rsid w:val="00CC3329"/>
    <w:rsid w:val="00CC48CD"/>
    <w:rsid w:val="00CC577C"/>
    <w:rsid w:val="00CD1A69"/>
    <w:rsid w:val="00CD1E84"/>
    <w:rsid w:val="00CD4B8B"/>
    <w:rsid w:val="00CD6174"/>
    <w:rsid w:val="00CE2F4B"/>
    <w:rsid w:val="00CF44E2"/>
    <w:rsid w:val="00D043FB"/>
    <w:rsid w:val="00D07305"/>
    <w:rsid w:val="00D150E2"/>
    <w:rsid w:val="00D15F30"/>
    <w:rsid w:val="00D3785D"/>
    <w:rsid w:val="00D4032F"/>
    <w:rsid w:val="00D40665"/>
    <w:rsid w:val="00D407DB"/>
    <w:rsid w:val="00D5576C"/>
    <w:rsid w:val="00D56B73"/>
    <w:rsid w:val="00D76B4F"/>
    <w:rsid w:val="00D77887"/>
    <w:rsid w:val="00D82A60"/>
    <w:rsid w:val="00DA2B39"/>
    <w:rsid w:val="00DA3643"/>
    <w:rsid w:val="00DA7D5E"/>
    <w:rsid w:val="00DB04B3"/>
    <w:rsid w:val="00DB262D"/>
    <w:rsid w:val="00DC283B"/>
    <w:rsid w:val="00DD0577"/>
    <w:rsid w:val="00DD1012"/>
    <w:rsid w:val="00DE1F80"/>
    <w:rsid w:val="00DE29EC"/>
    <w:rsid w:val="00DE4B02"/>
    <w:rsid w:val="00DF7F93"/>
    <w:rsid w:val="00E02120"/>
    <w:rsid w:val="00E06B01"/>
    <w:rsid w:val="00E10565"/>
    <w:rsid w:val="00E107D0"/>
    <w:rsid w:val="00E16B6E"/>
    <w:rsid w:val="00E21B39"/>
    <w:rsid w:val="00E31C05"/>
    <w:rsid w:val="00E523B9"/>
    <w:rsid w:val="00E57554"/>
    <w:rsid w:val="00E602D5"/>
    <w:rsid w:val="00E71262"/>
    <w:rsid w:val="00E77C46"/>
    <w:rsid w:val="00E801C0"/>
    <w:rsid w:val="00E84FC6"/>
    <w:rsid w:val="00E85B44"/>
    <w:rsid w:val="00E86438"/>
    <w:rsid w:val="00EB4957"/>
    <w:rsid w:val="00EC0B43"/>
    <w:rsid w:val="00EC67E9"/>
    <w:rsid w:val="00ED399A"/>
    <w:rsid w:val="00ED3E41"/>
    <w:rsid w:val="00EE3314"/>
    <w:rsid w:val="00F0230E"/>
    <w:rsid w:val="00F0651D"/>
    <w:rsid w:val="00F11C49"/>
    <w:rsid w:val="00F3076C"/>
    <w:rsid w:val="00F355F6"/>
    <w:rsid w:val="00F35F9C"/>
    <w:rsid w:val="00F423F8"/>
    <w:rsid w:val="00F5755C"/>
    <w:rsid w:val="00F57BD1"/>
    <w:rsid w:val="00F7030D"/>
    <w:rsid w:val="00F7279C"/>
    <w:rsid w:val="00F800A4"/>
    <w:rsid w:val="00F828F7"/>
    <w:rsid w:val="00F82BC7"/>
    <w:rsid w:val="00F863FB"/>
    <w:rsid w:val="00F87858"/>
    <w:rsid w:val="00F9341E"/>
    <w:rsid w:val="00FA6B03"/>
    <w:rsid w:val="00FB5462"/>
    <w:rsid w:val="00FB5AA2"/>
    <w:rsid w:val="00FB7585"/>
    <w:rsid w:val="00FD29D7"/>
    <w:rsid w:val="00FD3049"/>
    <w:rsid w:val="00FE4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6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6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DOBAM</dc:creator>
  <cp:lastModifiedBy>ngethe</cp:lastModifiedBy>
  <cp:revision>6</cp:revision>
  <dcterms:created xsi:type="dcterms:W3CDTF">2013-07-07T14:51:00Z</dcterms:created>
  <dcterms:modified xsi:type="dcterms:W3CDTF">2013-07-07T15:53:00Z</dcterms:modified>
</cp:coreProperties>
</file>